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40635" w14:textId="77777777" w:rsidR="00904C28" w:rsidRDefault="00A3319C" w:rsidP="00A3319C">
      <w:pPr>
        <w:jc w:val="center"/>
        <w:rPr>
          <w:rFonts w:ascii="ArialNarrow-Bold" w:hAnsi="ArialNarrow-Bold" w:cs="ArialNarrow-Bold"/>
          <w:b/>
          <w:bCs/>
          <w:sz w:val="32"/>
          <w:szCs w:val="32"/>
        </w:rPr>
      </w:pPr>
      <w:r>
        <w:rPr>
          <w:rFonts w:ascii="ArialNarrow-Bold" w:hAnsi="ArialNarrow-Bold" w:cs="ArialNarrow-Bold"/>
          <w:b/>
          <w:bCs/>
          <w:sz w:val="28"/>
          <w:szCs w:val="28"/>
        </w:rPr>
        <w:t xml:space="preserve">Instalace </w:t>
      </w:r>
      <w:r>
        <w:rPr>
          <w:rFonts w:ascii="ArialNarrow-Bold" w:hAnsi="ArialNarrow-Bold" w:cs="ArialNarrow-Bold"/>
          <w:b/>
          <w:bCs/>
          <w:sz w:val="32"/>
          <w:szCs w:val="32"/>
        </w:rPr>
        <w:t>KGJ 100 kW</w:t>
      </w:r>
    </w:p>
    <w:p w14:paraId="3B0EDAD3" w14:textId="77777777" w:rsidR="0062704A" w:rsidRDefault="0062704A" w:rsidP="0062704A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Předmětem akce je realizace centra energetických a environmentálních technologií. Výzkumné centrum bude zaměřeno na zpracování alternativních paliv </w:t>
      </w:r>
      <w:r>
        <w:rPr>
          <w:rFonts w:ascii="Helvetica" w:hAnsi="Helvetica" w:cs="Helvetica"/>
          <w:sz w:val="24"/>
          <w:szCs w:val="24"/>
        </w:rPr>
        <w:t xml:space="preserve">- </w:t>
      </w:r>
      <w:r>
        <w:rPr>
          <w:rFonts w:ascii="ArialMT" w:hAnsi="ArialMT" w:cs="ArialMT"/>
          <w:sz w:val="24"/>
          <w:szCs w:val="24"/>
        </w:rPr>
        <w:t xml:space="preserve">tříděných a </w:t>
      </w:r>
      <w:proofErr w:type="spellStart"/>
      <w:r>
        <w:rPr>
          <w:rFonts w:ascii="ArialMT" w:hAnsi="ArialMT" w:cs="ArialMT"/>
          <w:sz w:val="24"/>
          <w:szCs w:val="24"/>
        </w:rPr>
        <w:t>jednodruhových</w:t>
      </w:r>
      <w:proofErr w:type="spellEnd"/>
      <w:r>
        <w:rPr>
          <w:rFonts w:ascii="ArialMT" w:hAnsi="ArialMT" w:cs="ArialMT"/>
          <w:sz w:val="24"/>
          <w:szCs w:val="24"/>
        </w:rPr>
        <w:t xml:space="preserve"> alternativních paliv v kombinaci se vstupy energií </w:t>
      </w:r>
      <w:r>
        <w:rPr>
          <w:rFonts w:ascii="Helvetica" w:hAnsi="Helvetica" w:cs="Helvetica"/>
          <w:sz w:val="24"/>
          <w:szCs w:val="24"/>
        </w:rPr>
        <w:t xml:space="preserve">z </w:t>
      </w:r>
      <w:r>
        <w:rPr>
          <w:rFonts w:ascii="ArialMT" w:hAnsi="ArialMT" w:cs="ArialMT"/>
          <w:sz w:val="24"/>
          <w:szCs w:val="24"/>
        </w:rPr>
        <w:t>obnovitelných a alternativních zdrojů.</w:t>
      </w:r>
    </w:p>
    <w:p w14:paraId="43ED93A4" w14:textId="77777777" w:rsidR="00A3319C" w:rsidRDefault="0062704A" w:rsidP="0062704A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Projekt </w:t>
      </w:r>
      <w:proofErr w:type="spellStart"/>
      <w:r>
        <w:rPr>
          <w:rFonts w:ascii="ArialMT" w:hAnsi="ArialMT" w:cs="ArialMT"/>
          <w:sz w:val="24"/>
          <w:szCs w:val="24"/>
        </w:rPr>
        <w:t>CEETe</w:t>
      </w:r>
      <w:proofErr w:type="spellEnd"/>
      <w:r>
        <w:rPr>
          <w:rFonts w:ascii="ArialMT" w:hAnsi="ArialMT" w:cs="ArialMT"/>
          <w:sz w:val="24"/>
          <w:szCs w:val="24"/>
        </w:rPr>
        <w:t xml:space="preserve"> představuje rozšíření stávajícího laboratorního výzkumu VŠB-</w:t>
      </w:r>
      <w:r>
        <w:rPr>
          <w:rFonts w:ascii="Helvetica" w:hAnsi="Helvetica" w:cs="Helvetica"/>
          <w:sz w:val="24"/>
          <w:szCs w:val="24"/>
        </w:rPr>
        <w:t xml:space="preserve">TUO v </w:t>
      </w:r>
      <w:r>
        <w:rPr>
          <w:rFonts w:ascii="ArialMT" w:hAnsi="ArialMT" w:cs="ArialMT"/>
          <w:sz w:val="24"/>
          <w:szCs w:val="24"/>
        </w:rPr>
        <w:t xml:space="preserve">oblasti termické přeměny materiálů. Z pronajatého pracoviště mimo areál školy budou funkční technologie zapojeny do nové </w:t>
      </w:r>
      <w:r>
        <w:rPr>
          <w:rFonts w:ascii="Helvetica" w:hAnsi="Helvetica" w:cs="Helvetica"/>
          <w:sz w:val="24"/>
          <w:szCs w:val="24"/>
        </w:rPr>
        <w:t xml:space="preserve">infrastruktury </w:t>
      </w:r>
      <w:proofErr w:type="spellStart"/>
      <w:r>
        <w:rPr>
          <w:rFonts w:ascii="Helvetica" w:hAnsi="Helvetica" w:cs="Helvetica"/>
          <w:sz w:val="24"/>
          <w:szCs w:val="24"/>
        </w:rPr>
        <w:t>CEETe</w:t>
      </w:r>
      <w:proofErr w:type="spellEnd"/>
      <w:r>
        <w:rPr>
          <w:rFonts w:ascii="Helvetica" w:hAnsi="Helvetica" w:cs="Helvetica"/>
          <w:sz w:val="24"/>
          <w:szCs w:val="24"/>
        </w:rPr>
        <w:t xml:space="preserve">. </w:t>
      </w:r>
      <w:r>
        <w:rPr>
          <w:rFonts w:ascii="ArialMT" w:hAnsi="ArialMT" w:cs="ArialMT"/>
          <w:sz w:val="24"/>
          <w:szCs w:val="24"/>
        </w:rPr>
        <w:t>Ve všech případech se jedná o zařízení využívaná pro výzkum a vývoj. Jedná se o technické jednotky využívané v laboratorním a poloprovozním výzkumu a jiných výzkumných zařízeních.</w:t>
      </w:r>
    </w:p>
    <w:p w14:paraId="0C45D3E5" w14:textId="77777777" w:rsidR="0062704A" w:rsidRDefault="0062704A" w:rsidP="0062704A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</w:p>
    <w:p w14:paraId="6DDEBF72" w14:textId="77777777" w:rsidR="0062704A" w:rsidRDefault="0062704A" w:rsidP="00DE36C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DE36C8">
        <w:rPr>
          <w:rFonts w:ascii="ArialMT" w:hAnsi="ArialMT" w:cs="ArialMT"/>
          <w:sz w:val="24"/>
          <w:szCs w:val="24"/>
        </w:rPr>
        <w:t xml:space="preserve">Kogenerační jednotka </w:t>
      </w:r>
      <w:r w:rsidRPr="00DE36C8">
        <w:rPr>
          <w:rFonts w:ascii="Helvetica" w:hAnsi="Helvetica" w:cs="Helvetica"/>
          <w:sz w:val="24"/>
          <w:szCs w:val="24"/>
        </w:rPr>
        <w:t>(KGJ</w:t>
      </w:r>
      <w:r w:rsidR="00DE36C8" w:rsidRPr="00DE36C8">
        <w:rPr>
          <w:rFonts w:ascii="Helvetica" w:hAnsi="Helvetica" w:cs="Helvetica"/>
          <w:sz w:val="24"/>
          <w:szCs w:val="24"/>
        </w:rPr>
        <w:t>100</w:t>
      </w:r>
      <w:r w:rsidRPr="00DE36C8">
        <w:rPr>
          <w:rFonts w:ascii="Helvetica" w:hAnsi="Helvetica" w:cs="Helvetica"/>
          <w:sz w:val="24"/>
          <w:szCs w:val="24"/>
        </w:rPr>
        <w:t xml:space="preserve">) </w:t>
      </w:r>
      <w:r>
        <w:rPr>
          <w:rFonts w:ascii="Helvetica" w:hAnsi="Helvetica" w:cs="Helvetica"/>
          <w:sz w:val="24"/>
          <w:szCs w:val="24"/>
        </w:rPr>
        <w:t xml:space="preserve">- </w:t>
      </w:r>
      <w:r>
        <w:rPr>
          <w:rFonts w:ascii="ArialMT" w:hAnsi="ArialMT" w:cs="ArialMT"/>
          <w:sz w:val="24"/>
          <w:szCs w:val="24"/>
        </w:rPr>
        <w:t xml:space="preserve">zařízení pro kombinovanou výrobu tepla a elektrické energie. Výhodou je vysoká účinnost až 90% využití paliva. Základním principem je využití spalování plynu v pístovém spalovacím motoru. Energie motoru je převedena na elektrický generátor, který je zdrojem elektrické energie. Spálením plynu </w:t>
      </w:r>
      <w:r>
        <w:rPr>
          <w:rFonts w:ascii="Helvetica" w:hAnsi="Helvetica" w:cs="Helvetica"/>
          <w:sz w:val="24"/>
          <w:szCs w:val="24"/>
        </w:rPr>
        <w:t xml:space="preserve">dojde k </w:t>
      </w:r>
      <w:r>
        <w:rPr>
          <w:rFonts w:ascii="ArialMT" w:hAnsi="ArialMT" w:cs="ArialMT"/>
          <w:sz w:val="24"/>
          <w:szCs w:val="24"/>
        </w:rPr>
        <w:t xml:space="preserve">produkci tepla, které je využito transformováním do teplé vody. </w:t>
      </w:r>
      <w:r>
        <w:rPr>
          <w:rFonts w:ascii="Helvetica" w:hAnsi="Helvetica" w:cs="Helvetica"/>
          <w:sz w:val="24"/>
          <w:szCs w:val="24"/>
        </w:rPr>
        <w:t xml:space="preserve">KGJ100 bude </w:t>
      </w:r>
      <w:r>
        <w:rPr>
          <w:rFonts w:ascii="ArialMT" w:hAnsi="ArialMT" w:cs="ArialMT"/>
          <w:sz w:val="24"/>
          <w:szCs w:val="24"/>
        </w:rPr>
        <w:t xml:space="preserve">tvořit samostatný provoz v rámci objektu a bude napájena z rozvodné sítě zemního plynu. KGJ100 bude vyrábět elektrickou energii, která bude využita dále ve výzkumném procesu a teplo, které bude akumulováno a </w:t>
      </w:r>
      <w:proofErr w:type="spellStart"/>
      <w:r>
        <w:rPr>
          <w:rFonts w:ascii="ArialMT" w:hAnsi="ArialMT" w:cs="ArialMT"/>
          <w:sz w:val="24"/>
          <w:szCs w:val="24"/>
        </w:rPr>
        <w:t>rekuperováno</w:t>
      </w:r>
      <w:proofErr w:type="spellEnd"/>
      <w:r>
        <w:rPr>
          <w:rFonts w:ascii="ArialMT" w:hAnsi="ArialMT" w:cs="ArialMT"/>
          <w:sz w:val="24"/>
          <w:szCs w:val="24"/>
        </w:rPr>
        <w:t xml:space="preserve"> pro vlastní provoz objektu a technologií. Přebytky elektrické a tepelné energie </w:t>
      </w:r>
      <w:r>
        <w:rPr>
          <w:rFonts w:ascii="Helvetica" w:hAnsi="Helvetica" w:cs="Helvetica"/>
          <w:sz w:val="24"/>
          <w:szCs w:val="24"/>
        </w:rPr>
        <w:t xml:space="preserve">mohou </w:t>
      </w:r>
      <w:r>
        <w:rPr>
          <w:rFonts w:ascii="ArialMT" w:hAnsi="ArialMT" w:cs="ArialMT"/>
          <w:sz w:val="24"/>
          <w:szCs w:val="24"/>
        </w:rPr>
        <w:t xml:space="preserve">být distribuovány pro potřeby </w:t>
      </w:r>
      <w:r>
        <w:rPr>
          <w:rFonts w:ascii="Helvetica" w:hAnsi="Helvetica" w:cs="Helvetica"/>
          <w:sz w:val="24"/>
          <w:szCs w:val="24"/>
        </w:rPr>
        <w:t>V</w:t>
      </w:r>
      <w:r>
        <w:rPr>
          <w:rFonts w:ascii="ArialMT" w:hAnsi="ArialMT" w:cs="ArialMT"/>
          <w:sz w:val="24"/>
          <w:szCs w:val="24"/>
        </w:rPr>
        <w:t>Š</w:t>
      </w:r>
      <w:r>
        <w:rPr>
          <w:rFonts w:ascii="Helvetica" w:hAnsi="Helvetica" w:cs="Helvetica"/>
          <w:sz w:val="24"/>
          <w:szCs w:val="24"/>
        </w:rPr>
        <w:t>B-TUO.</w:t>
      </w:r>
    </w:p>
    <w:p w14:paraId="15636EA7" w14:textId="77777777" w:rsidR="00DE36C8" w:rsidRDefault="00DE36C8" w:rsidP="0062704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</w:p>
    <w:p w14:paraId="2298C86C" w14:textId="77777777" w:rsidR="0062704A" w:rsidRPr="00DE36C8" w:rsidRDefault="0062704A" w:rsidP="0062704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  <w:r w:rsidRPr="00DE36C8">
        <w:rPr>
          <w:rFonts w:ascii="ArialMT" w:hAnsi="ArialMT" w:cs="ArialMT"/>
          <w:sz w:val="24"/>
          <w:szCs w:val="24"/>
          <w:u w:val="single"/>
        </w:rPr>
        <w:t>Kogenerační jednotka t</w:t>
      </w:r>
      <w:r w:rsidRPr="00DE36C8">
        <w:rPr>
          <w:rFonts w:ascii="Helvetica" w:hAnsi="Helvetica" w:cs="Helvetica"/>
          <w:sz w:val="24"/>
          <w:szCs w:val="24"/>
          <w:u w:val="single"/>
        </w:rPr>
        <w:t xml:space="preserve">yp </w:t>
      </w:r>
      <w:r w:rsidRPr="00DE36C8">
        <w:rPr>
          <w:rFonts w:ascii="Helvetica" w:hAnsi="Helvetica" w:cs="Helvetica"/>
          <w:b/>
          <w:sz w:val="24"/>
          <w:szCs w:val="24"/>
          <w:u w:val="single"/>
        </w:rPr>
        <w:t>KE-</w:t>
      </w:r>
      <w:r w:rsidRPr="00DE36C8">
        <w:rPr>
          <w:rFonts w:ascii="ArialMT" w:hAnsi="ArialMT" w:cs="ArialMT"/>
          <w:b/>
          <w:sz w:val="24"/>
          <w:szCs w:val="24"/>
          <w:u w:val="single"/>
        </w:rPr>
        <w:t>MNG 100</w:t>
      </w:r>
    </w:p>
    <w:p w14:paraId="5A4DA336" w14:textId="77777777" w:rsidR="0062704A" w:rsidRDefault="0062704A" w:rsidP="0062704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Výrobce: společnost KARLA spol. s </w:t>
      </w:r>
      <w:proofErr w:type="spellStart"/>
      <w:proofErr w:type="gramStart"/>
      <w:r>
        <w:rPr>
          <w:rFonts w:ascii="Helvetica" w:hAnsi="Helvetica" w:cs="Helvetica"/>
          <w:sz w:val="24"/>
          <w:szCs w:val="24"/>
        </w:rPr>
        <w:t>r.o.,</w:t>
      </w:r>
      <w:r>
        <w:rPr>
          <w:rFonts w:ascii="ArialMT" w:hAnsi="ArialMT" w:cs="ArialMT"/>
          <w:sz w:val="24"/>
          <w:szCs w:val="24"/>
        </w:rPr>
        <w:t>Bruntál</w:t>
      </w:r>
      <w:proofErr w:type="spellEnd"/>
      <w:proofErr w:type="gramEnd"/>
      <w:r>
        <w:rPr>
          <w:rFonts w:ascii="ArialMT" w:hAnsi="ArialMT" w:cs="ArialMT"/>
          <w:sz w:val="24"/>
          <w:szCs w:val="24"/>
        </w:rPr>
        <w:t xml:space="preserve">. </w:t>
      </w:r>
    </w:p>
    <w:p w14:paraId="6F7B2F7F" w14:textId="77777777" w:rsidR="0062704A" w:rsidRDefault="0062704A" w:rsidP="0062704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Elektrický výkon: 104 kW</w:t>
      </w:r>
      <w:r w:rsidR="00C758D6">
        <w:rPr>
          <w:rFonts w:ascii="ArialMT" w:hAnsi="ArialMT" w:cs="ArialMT"/>
          <w:sz w:val="24"/>
          <w:szCs w:val="24"/>
        </w:rPr>
        <w:t>.</w:t>
      </w:r>
      <w:r>
        <w:rPr>
          <w:rFonts w:ascii="ArialMT" w:hAnsi="ArialMT" w:cs="ArialMT"/>
          <w:sz w:val="24"/>
          <w:szCs w:val="24"/>
        </w:rPr>
        <w:t xml:space="preserve"> </w:t>
      </w:r>
    </w:p>
    <w:p w14:paraId="63DA1604" w14:textId="77777777" w:rsidR="0062704A" w:rsidRDefault="00DE36C8" w:rsidP="0062704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T</w:t>
      </w:r>
      <w:r w:rsidR="0062704A">
        <w:rPr>
          <w:rFonts w:ascii="ArialMT" w:hAnsi="ArialMT" w:cs="ArialMT"/>
          <w:sz w:val="24"/>
          <w:szCs w:val="24"/>
        </w:rPr>
        <w:t>epelný výkon: 135 kW</w:t>
      </w:r>
      <w:r w:rsidR="00C758D6">
        <w:rPr>
          <w:rFonts w:ascii="ArialMT" w:hAnsi="ArialMT" w:cs="ArialMT"/>
          <w:sz w:val="24"/>
          <w:szCs w:val="24"/>
        </w:rPr>
        <w:t>.</w:t>
      </w:r>
      <w:r w:rsidR="0062704A">
        <w:rPr>
          <w:rFonts w:ascii="ArialMT" w:hAnsi="ArialMT" w:cs="ArialMT"/>
          <w:sz w:val="24"/>
          <w:szCs w:val="24"/>
        </w:rPr>
        <w:t xml:space="preserve"> </w:t>
      </w:r>
    </w:p>
    <w:p w14:paraId="408B9376" w14:textId="77777777" w:rsidR="0062704A" w:rsidRDefault="00DE36C8" w:rsidP="0062704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</w:t>
      </w:r>
      <w:r w:rsidR="0062704A">
        <w:rPr>
          <w:rFonts w:ascii="ArialMT" w:hAnsi="ArialMT" w:cs="ArialMT"/>
          <w:sz w:val="24"/>
          <w:szCs w:val="24"/>
        </w:rPr>
        <w:t xml:space="preserve">říkon </w:t>
      </w:r>
      <w:r w:rsidR="0062704A">
        <w:rPr>
          <w:rFonts w:ascii="Helvetica" w:hAnsi="Helvetica" w:cs="Helvetica"/>
          <w:sz w:val="24"/>
          <w:szCs w:val="24"/>
        </w:rPr>
        <w:t>v palivu: 274 kW.</w:t>
      </w:r>
    </w:p>
    <w:p w14:paraId="45A4E0F2" w14:textId="77777777" w:rsidR="0062704A" w:rsidRDefault="0062704A" w:rsidP="0062704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61567DE7" w14:textId="77777777" w:rsidR="0062704A" w:rsidRPr="00DE36C8" w:rsidRDefault="0062704A" w:rsidP="00DE36C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sz w:val="24"/>
          <w:szCs w:val="24"/>
        </w:rPr>
      </w:pPr>
      <w:r w:rsidRPr="00DE36C8">
        <w:rPr>
          <w:rFonts w:ascii="Helvetica" w:hAnsi="Helvetica" w:cs="Helvetica"/>
          <w:b/>
          <w:sz w:val="24"/>
          <w:szCs w:val="24"/>
        </w:rPr>
        <w:t>Hluk</w:t>
      </w:r>
    </w:p>
    <w:p w14:paraId="4E28E687" w14:textId="77777777" w:rsidR="0062704A" w:rsidRDefault="0062704A" w:rsidP="00DE36C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KGJ bude </w:t>
      </w:r>
      <w:r>
        <w:rPr>
          <w:rFonts w:ascii="ArialMT" w:hAnsi="ArialMT" w:cs="ArialMT"/>
          <w:sz w:val="24"/>
          <w:szCs w:val="24"/>
        </w:rPr>
        <w:t>umístěn</w:t>
      </w:r>
      <w:r>
        <w:rPr>
          <w:rFonts w:ascii="Helvetica" w:hAnsi="Helvetica" w:cs="Helvetica"/>
          <w:sz w:val="24"/>
          <w:szCs w:val="24"/>
        </w:rPr>
        <w:t xml:space="preserve">a v </w:t>
      </w:r>
      <w:r>
        <w:rPr>
          <w:rFonts w:ascii="ArialMT" w:hAnsi="ArialMT" w:cs="ArialMT"/>
          <w:sz w:val="24"/>
          <w:szCs w:val="24"/>
        </w:rPr>
        <w:t xml:space="preserve">uzavřené místnosti uvnitř objektu </w:t>
      </w:r>
      <w:proofErr w:type="spellStart"/>
      <w:r>
        <w:rPr>
          <w:rFonts w:ascii="ArialMT" w:hAnsi="ArialMT" w:cs="ArialMT"/>
          <w:sz w:val="24"/>
          <w:szCs w:val="24"/>
        </w:rPr>
        <w:t>CEETe</w:t>
      </w:r>
      <w:proofErr w:type="spellEnd"/>
      <w:r>
        <w:rPr>
          <w:rFonts w:ascii="ArialMT" w:hAnsi="ArialMT" w:cs="ArialMT"/>
          <w:sz w:val="24"/>
          <w:szCs w:val="24"/>
        </w:rPr>
        <w:t xml:space="preserve">. Všechny obvodové konstrukce místnosti </w:t>
      </w:r>
      <w:r>
        <w:rPr>
          <w:rFonts w:ascii="Helvetica" w:hAnsi="Helvetica" w:cs="Helvetica"/>
          <w:sz w:val="24"/>
          <w:szCs w:val="24"/>
        </w:rPr>
        <w:t xml:space="preserve">budou </w:t>
      </w:r>
      <w:r>
        <w:rPr>
          <w:rFonts w:ascii="ArialMT" w:hAnsi="ArialMT" w:cs="ArialMT"/>
          <w:sz w:val="24"/>
          <w:szCs w:val="24"/>
        </w:rPr>
        <w:t xml:space="preserve">odhlučněny tak, aby nedocházelo k šíření </w:t>
      </w:r>
      <w:r>
        <w:rPr>
          <w:rFonts w:ascii="Helvetica" w:hAnsi="Helvetica" w:cs="Helvetica"/>
          <w:sz w:val="24"/>
          <w:szCs w:val="24"/>
        </w:rPr>
        <w:t>na</w:t>
      </w:r>
      <w:r>
        <w:rPr>
          <w:rFonts w:ascii="ArialMT" w:hAnsi="ArialMT" w:cs="ArialMT"/>
          <w:sz w:val="24"/>
          <w:szCs w:val="24"/>
        </w:rPr>
        <w:t xml:space="preserve">dměrného hluku v rámci </w:t>
      </w:r>
      <w:r>
        <w:rPr>
          <w:rFonts w:ascii="Helvetica" w:hAnsi="Helvetica" w:cs="Helvetica"/>
          <w:sz w:val="24"/>
          <w:szCs w:val="24"/>
        </w:rPr>
        <w:t>budovy i do ven</w:t>
      </w:r>
      <w:r>
        <w:rPr>
          <w:rFonts w:ascii="ArialMT" w:hAnsi="ArialMT" w:cs="ArialMT"/>
          <w:sz w:val="24"/>
          <w:szCs w:val="24"/>
        </w:rPr>
        <w:t xml:space="preserve">kovních prostor. </w:t>
      </w:r>
    </w:p>
    <w:p w14:paraId="12209A32" w14:textId="77777777" w:rsidR="00DE36C8" w:rsidRPr="00DE36C8" w:rsidRDefault="00DE36C8" w:rsidP="00DE36C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b/>
          <w:sz w:val="24"/>
          <w:szCs w:val="24"/>
        </w:rPr>
      </w:pPr>
    </w:p>
    <w:p w14:paraId="07C818C7" w14:textId="77777777" w:rsidR="0062704A" w:rsidRPr="00DE36C8" w:rsidRDefault="0062704A" w:rsidP="00DE36C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b/>
          <w:sz w:val="24"/>
          <w:szCs w:val="24"/>
        </w:rPr>
      </w:pPr>
      <w:r w:rsidRPr="00DE36C8">
        <w:rPr>
          <w:rFonts w:ascii="ArialMT" w:hAnsi="ArialMT" w:cs="ArialMT"/>
          <w:b/>
          <w:sz w:val="24"/>
          <w:szCs w:val="24"/>
        </w:rPr>
        <w:t>Emise do ovzduší</w:t>
      </w:r>
    </w:p>
    <w:p w14:paraId="226B4F01" w14:textId="77777777" w:rsidR="0062704A" w:rsidRDefault="0062704A" w:rsidP="00DE36C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Spalinový okruh se skládá z motoru, spalinového výměníku, tlumiče výfuku a kompenzátoru. Spalovací směs po shoření ve válcích spalovacího motoru odchází ve formě </w:t>
      </w:r>
      <w:r>
        <w:rPr>
          <w:rFonts w:ascii="Helvetica" w:hAnsi="Helvetica" w:cs="Helvetica"/>
          <w:sz w:val="24"/>
          <w:szCs w:val="24"/>
        </w:rPr>
        <w:t xml:space="preserve">spalin mimo </w:t>
      </w:r>
      <w:r>
        <w:rPr>
          <w:rFonts w:ascii="ArialMT" w:hAnsi="ArialMT" w:cs="ArialMT"/>
          <w:sz w:val="24"/>
          <w:szCs w:val="24"/>
        </w:rPr>
        <w:t>KGJ. Spaliny budou vyvedeny do komín</w:t>
      </w:r>
      <w:r>
        <w:rPr>
          <w:rFonts w:ascii="Helvetica" w:hAnsi="Helvetica" w:cs="Helvetica"/>
          <w:sz w:val="24"/>
          <w:szCs w:val="24"/>
        </w:rPr>
        <w:t>a.</w:t>
      </w:r>
    </w:p>
    <w:p w14:paraId="09C2A27F" w14:textId="77777777" w:rsidR="00CB4A81" w:rsidRDefault="00CB4A81" w:rsidP="00DE36C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</w:p>
    <w:p w14:paraId="0AE0A068" w14:textId="77777777" w:rsidR="0062704A" w:rsidRPr="00CB4A81" w:rsidRDefault="0062704A" w:rsidP="00DE36C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  <w:u w:val="single"/>
        </w:rPr>
      </w:pPr>
      <w:r w:rsidRPr="00CB4A81">
        <w:rPr>
          <w:rFonts w:ascii="ArialMT" w:hAnsi="ArialMT" w:cs="ArialMT"/>
          <w:sz w:val="24"/>
          <w:szCs w:val="24"/>
          <w:u w:val="single"/>
        </w:rPr>
        <w:t>Soubor obsahuje následující zařízení:</w:t>
      </w:r>
    </w:p>
    <w:p w14:paraId="66766715" w14:textId="77777777" w:rsidR="00DE36C8" w:rsidRDefault="00DE36C8" w:rsidP="00DE36C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675D7E66" w14:textId="77777777" w:rsidR="0062704A" w:rsidRDefault="0062704A" w:rsidP="00DE36C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Předmětem projektu jsou především práce spojené s instalací kogenerační</w:t>
      </w:r>
      <w:r w:rsidR="00DE36C8"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>jednotky v</w:t>
      </w:r>
      <w:r w:rsidR="009E008D">
        <w:rPr>
          <w:rFonts w:ascii="Helvetica" w:hAnsi="Helvetica" w:cs="Helvetica"/>
          <w:sz w:val="24"/>
          <w:szCs w:val="24"/>
        </w:rPr>
        <w:t> </w:t>
      </w:r>
      <w:r>
        <w:rPr>
          <w:rFonts w:ascii="ArialMT" w:hAnsi="ArialMT" w:cs="ArialMT"/>
          <w:sz w:val="24"/>
          <w:szCs w:val="24"/>
        </w:rPr>
        <w:t>budově, zajištění přívodu spalovacího a chladicího vzduchu do místnosti</w:t>
      </w:r>
      <w:r w:rsidR="00DE36C8">
        <w:rPr>
          <w:rFonts w:ascii="ArialMT" w:hAnsi="ArialMT" w:cs="ArialMT"/>
          <w:sz w:val="24"/>
          <w:szCs w:val="24"/>
        </w:rPr>
        <w:t xml:space="preserve"> </w:t>
      </w:r>
      <w:r w:rsidR="00DE36C8">
        <w:rPr>
          <w:rFonts w:ascii="Helvetica" w:hAnsi="Helvetica" w:cs="Helvetica"/>
          <w:sz w:val="24"/>
          <w:szCs w:val="24"/>
        </w:rPr>
        <w:t xml:space="preserve">z </w:t>
      </w:r>
      <w:r>
        <w:rPr>
          <w:rFonts w:ascii="ArialMT" w:hAnsi="ArialMT" w:cs="ArialMT"/>
          <w:sz w:val="24"/>
          <w:szCs w:val="24"/>
        </w:rPr>
        <w:t>venkovního prostoru budovy, zajištění odvodu vzduchu ven z místnosti mimo</w:t>
      </w:r>
      <w:r w:rsidR="00DE36C8"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 xml:space="preserve">budovu, odvod spalin </w:t>
      </w:r>
      <w:r>
        <w:rPr>
          <w:rFonts w:ascii="ArialMT" w:hAnsi="ArialMT" w:cs="ArialMT"/>
          <w:sz w:val="24"/>
          <w:szCs w:val="24"/>
        </w:rPr>
        <w:t>včetně komína, napojení na přípojku zemního plynu a okruhu</w:t>
      </w:r>
      <w:r w:rsidR="00DE36C8"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ArialMT" w:hAnsi="ArialMT" w:cs="ArialMT"/>
          <w:sz w:val="24"/>
          <w:szCs w:val="24"/>
        </w:rPr>
        <w:t>chladicí vody, systém maření tepla a činnosti spojené s oživením jednotky. Součástí</w:t>
      </w:r>
      <w:r w:rsidR="00DE36C8"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ArialMT" w:hAnsi="ArialMT" w:cs="ArialMT"/>
          <w:sz w:val="24"/>
          <w:szCs w:val="24"/>
        </w:rPr>
        <w:t>jsou i potřebné zkoušky a revize pro zahájení bezpečného provozu zařízení.</w:t>
      </w:r>
    </w:p>
    <w:p w14:paraId="08C6ECDE" w14:textId="77777777" w:rsidR="00FA15EA" w:rsidRDefault="00FA15EA" w:rsidP="00DE36C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</w:p>
    <w:p w14:paraId="5279C402" w14:textId="77777777" w:rsidR="009E008D" w:rsidRDefault="009E008D" w:rsidP="00DE36C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</w:p>
    <w:p w14:paraId="7D775EA7" w14:textId="77777777" w:rsidR="00C11E9A" w:rsidRDefault="00C11E9A" w:rsidP="00DE36C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</w:p>
    <w:sectPr w:rsidR="00C11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-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B7B26"/>
    <w:multiLevelType w:val="hybridMultilevel"/>
    <w:tmpl w:val="2EA4D018"/>
    <w:lvl w:ilvl="0" w:tplc="47C60AD0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FA40795"/>
    <w:multiLevelType w:val="hybridMultilevel"/>
    <w:tmpl w:val="B2D412EA"/>
    <w:lvl w:ilvl="0" w:tplc="A83ECD2C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4" w:hanging="360"/>
      </w:pPr>
    </w:lvl>
    <w:lvl w:ilvl="2" w:tplc="0405001B" w:tentative="1">
      <w:start w:val="1"/>
      <w:numFmt w:val="lowerRoman"/>
      <w:lvlText w:val="%3."/>
      <w:lvlJc w:val="right"/>
      <w:pPr>
        <w:ind w:left="1834" w:hanging="180"/>
      </w:pPr>
    </w:lvl>
    <w:lvl w:ilvl="3" w:tplc="0405000F" w:tentative="1">
      <w:start w:val="1"/>
      <w:numFmt w:val="decimal"/>
      <w:lvlText w:val="%4."/>
      <w:lvlJc w:val="left"/>
      <w:pPr>
        <w:ind w:left="2554" w:hanging="360"/>
      </w:pPr>
    </w:lvl>
    <w:lvl w:ilvl="4" w:tplc="04050019" w:tentative="1">
      <w:start w:val="1"/>
      <w:numFmt w:val="lowerLetter"/>
      <w:lvlText w:val="%5."/>
      <w:lvlJc w:val="left"/>
      <w:pPr>
        <w:ind w:left="3274" w:hanging="360"/>
      </w:pPr>
    </w:lvl>
    <w:lvl w:ilvl="5" w:tplc="0405001B" w:tentative="1">
      <w:start w:val="1"/>
      <w:numFmt w:val="lowerRoman"/>
      <w:lvlText w:val="%6."/>
      <w:lvlJc w:val="right"/>
      <w:pPr>
        <w:ind w:left="3994" w:hanging="180"/>
      </w:pPr>
    </w:lvl>
    <w:lvl w:ilvl="6" w:tplc="0405000F" w:tentative="1">
      <w:start w:val="1"/>
      <w:numFmt w:val="decimal"/>
      <w:lvlText w:val="%7."/>
      <w:lvlJc w:val="left"/>
      <w:pPr>
        <w:ind w:left="4714" w:hanging="360"/>
      </w:pPr>
    </w:lvl>
    <w:lvl w:ilvl="7" w:tplc="04050019" w:tentative="1">
      <w:start w:val="1"/>
      <w:numFmt w:val="lowerLetter"/>
      <w:lvlText w:val="%8."/>
      <w:lvlJc w:val="left"/>
      <w:pPr>
        <w:ind w:left="5434" w:hanging="360"/>
      </w:pPr>
    </w:lvl>
    <w:lvl w:ilvl="8" w:tplc="040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19C"/>
    <w:rsid w:val="000E65FB"/>
    <w:rsid w:val="002B5790"/>
    <w:rsid w:val="003E5420"/>
    <w:rsid w:val="0062704A"/>
    <w:rsid w:val="007E1F5E"/>
    <w:rsid w:val="007F6638"/>
    <w:rsid w:val="0088530D"/>
    <w:rsid w:val="00904C28"/>
    <w:rsid w:val="00950DBC"/>
    <w:rsid w:val="009E008D"/>
    <w:rsid w:val="00A06780"/>
    <w:rsid w:val="00A3319C"/>
    <w:rsid w:val="00A937C8"/>
    <w:rsid w:val="00C11E9A"/>
    <w:rsid w:val="00C758D6"/>
    <w:rsid w:val="00CA410D"/>
    <w:rsid w:val="00CB4A81"/>
    <w:rsid w:val="00D37A99"/>
    <w:rsid w:val="00DE36C8"/>
    <w:rsid w:val="00F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F3CC4"/>
  <w15:docId w15:val="{3F8899E6-0535-4609-81FE-B4E7DD1C9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93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A41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fra118</dc:creator>
  <cp:lastModifiedBy>Cieslar Martin | CHVÁLEK ATELIÉR</cp:lastModifiedBy>
  <cp:revision>2</cp:revision>
  <dcterms:created xsi:type="dcterms:W3CDTF">2021-06-28T12:35:00Z</dcterms:created>
  <dcterms:modified xsi:type="dcterms:W3CDTF">2021-06-28T12:35:00Z</dcterms:modified>
</cp:coreProperties>
</file>